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6" w:rsidRDefault="00930080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ДОКЛАД НА НЧ „СВЕТЛИНА – 1936г.“ СЕЛО ПРИБОЙ В ИЗПЪЛНЕНИЕ НА ГОДИШНАТА ПРОГРАМА ЗА РАЗВИТИЕ НА ЧИТАЛИЩНАТА ДЕЙНОСТ ЗА 2023 ГОДИНА</w:t>
      </w:r>
    </w:p>
    <w:p w:rsidR="00121786" w:rsidRDefault="0012178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Брой на жителите в селото – 103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Брой на регис</w:t>
      </w:r>
      <w:r>
        <w:rPr>
          <w:rFonts w:ascii="Times New Roman" w:hAnsi="Times New Roman" w:cs="Times New Roman"/>
          <w:b/>
          <w:sz w:val="28"/>
          <w:szCs w:val="28"/>
        </w:rPr>
        <w:t>трираните читалищни членове – 80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Библиотечна дейност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 Наличен библиотечен фонд – 5 650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Закупени нови книги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3.  Брой абонаменти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4. Брой читатели –  10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5. Брой читателски посещения – 50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6. Заета литература – 490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7. Показани изложби и витрини /вид и наименование/  -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8. Краеведска дейност / проучване, документиране и пресъздаване на обреди и обичаи, документиране на песенен и словесен фолклор/ вид на събраните материали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Пресъздаване на обичаите , „Лазаруване</w:t>
      </w:r>
      <w:r>
        <w:rPr>
          <w:rFonts w:ascii="Times New Roman" w:hAnsi="Times New Roman" w:cs="Times New Roman"/>
          <w:b/>
          <w:sz w:val="28"/>
          <w:szCs w:val="28"/>
        </w:rPr>
        <w:t>“, „Сурва“.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Събиране на песни , гатанки, поговорки, пословици , игри и легенди, характерни за нашия край.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9. Книга за дарения – читалището разполага с такава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10. Наличие на компютърна техника – да / компютър, ксерокс и копир/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11. Наличие на интернет – чи</w:t>
      </w:r>
      <w:r>
        <w:rPr>
          <w:rFonts w:ascii="Times New Roman" w:hAnsi="Times New Roman" w:cs="Times New Roman"/>
          <w:b/>
          <w:sz w:val="28"/>
          <w:szCs w:val="28"/>
        </w:rPr>
        <w:t>талището разполага с безжичен  интернет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12.  Наличие на друга техника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Любителско творчество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Временно действащи колективи / вид и брой на участниците/  -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Постоянно действащи колективи / вид и  брой на участниците/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Лазарска група – 18</w:t>
      </w:r>
      <w:r>
        <w:rPr>
          <w:rFonts w:ascii="Times New Roman" w:hAnsi="Times New Roman" w:cs="Times New Roman"/>
          <w:b/>
          <w:sz w:val="28"/>
          <w:szCs w:val="28"/>
        </w:rPr>
        <w:t xml:space="preserve">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Група за словесен фолклор –  6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Сурвакарска група – 70 броя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Участия в конкурси, фестивали и празници. Получени награди.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Общински</w:t>
      </w:r>
    </w:p>
    <w:p w:rsidR="00121786" w:rsidRDefault="00930080">
      <w:pPr>
        <w:pStyle w:val="Standard"/>
      </w:pPr>
      <w:r>
        <w:t xml:space="preserve">– </w:t>
      </w:r>
      <w:r>
        <w:rPr>
          <w:b/>
          <w:sz w:val="28"/>
          <w:szCs w:val="28"/>
        </w:rPr>
        <w:t>Участие в Сурвакарско дефиле „Тайнството на Сурва“ гр. Радомир – получени Грамота за участие, парична н</w:t>
      </w:r>
      <w:r>
        <w:rPr>
          <w:b/>
          <w:sz w:val="28"/>
          <w:szCs w:val="28"/>
        </w:rPr>
        <w:t>аграда, спечелена награда за „ Най – добри персонажни изпълнения“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Участие в празника „Гергьовден“ град Радомир – получена грамота за участие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- Участие в „Нощта на музеите“ –  град Радомир – получени грамота 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- Участие в базара по случай „ Ден на бозата“ </w:t>
      </w:r>
      <w:r>
        <w:rPr>
          <w:rFonts w:ascii="Times New Roman" w:hAnsi="Times New Roman" w:cs="Times New Roman"/>
          <w:b/>
          <w:sz w:val="28"/>
          <w:szCs w:val="28"/>
        </w:rPr>
        <w:t>град Радомир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Областни и регионални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Участие в Кукерски празник „Сирни заговезни“  гр. Ветрен – Получена Грамота и парична награда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– Участие в Кукерски празник с. Виноградец – получени грамота и парична награда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Участие в „ Червен, червен Великден“ сел</w:t>
      </w:r>
      <w:r>
        <w:rPr>
          <w:rFonts w:ascii="Times New Roman" w:hAnsi="Times New Roman" w:cs="Times New Roman"/>
          <w:b/>
          <w:sz w:val="28"/>
          <w:szCs w:val="28"/>
        </w:rPr>
        <w:t>о Извор – получена грамота за участие, спечелени диплом и награда за „ Най – красиви яйца боядисани с природни материали“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- Участие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то  издание на Национален детско – юношески фолклорен фестивал „Чичо Стоян“ село Дивотино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получени грамоти за у</w:t>
      </w:r>
      <w:r>
        <w:rPr>
          <w:rFonts w:ascii="Times New Roman" w:hAnsi="Times New Roman" w:cs="Times New Roman"/>
          <w:b/>
          <w:sz w:val="28"/>
          <w:szCs w:val="28"/>
        </w:rPr>
        <w:t>частие и отлично представяне на Андреа Миленова, Спасиян Миленов, Виктор Георгиев, благодарствена грамота на Росана Иванова, Спечелени златен медал и диплом на Андреа и Спасиян Младинови и сребърен медал и диплом на Виктор Георгиев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– Участие в 95 годишен ю</w:t>
      </w:r>
      <w:r>
        <w:rPr>
          <w:rFonts w:ascii="Times New Roman" w:hAnsi="Times New Roman" w:cs="Times New Roman"/>
          <w:b/>
          <w:sz w:val="28"/>
          <w:szCs w:val="28"/>
        </w:rPr>
        <w:t>билей на НЧ „ Просвета 1928г.“ с. Кондофрей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Международни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–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Международен фестивал но маскарадните игри „ Сурва“ гр. Перник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–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Международен фестивал на кукерските и маскарадни игри „ Кукове“ гр. Раковски – получени грамота за у</w:t>
      </w:r>
      <w:r>
        <w:rPr>
          <w:rFonts w:ascii="Times New Roman" w:hAnsi="Times New Roman" w:cs="Times New Roman"/>
          <w:b/>
          <w:sz w:val="28"/>
          <w:szCs w:val="28"/>
        </w:rPr>
        <w:t>частие, плакет и  парична награда за „Автентичност на маскарада“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ви Национален детски фолклорен фестивал с международно участие „ Слънце иде“ село Дрен – получени грамоти за участие на Спасиян и Андреа Миленови, спечелени златен медал и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Културна дейност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 Организирани конкурси и фестивали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Честване на празници от националния и местния календар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„Сурва“ в с. Прибой, групата ни беше домакин на среща със село Стефаново, гостува на селата: Беланица, Бобораци, Кошарите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махала Петрово,  “Лазаровден“, „Спасовден“ – съвместно Кметство село Прибой и Църковно Настоятелство, отбелязване на храмовия празник „  Успение Богородично“ – съвместно Кметство село Прибой и Църковно Настоятелство, отбелязване и участие на самодейците п</w:t>
      </w:r>
      <w:r>
        <w:rPr>
          <w:rFonts w:ascii="Times New Roman" w:hAnsi="Times New Roman" w:cs="Times New Roman"/>
          <w:b/>
          <w:sz w:val="28"/>
          <w:szCs w:val="28"/>
        </w:rPr>
        <w:t>ри НЧ „Светлина – 1936г.“ с. Пробой на Традиционния землячески събор на село Пробой – съвместно Кметство  село прибой, отбелязване на „Деня на Християнското семейство, Коледно тържество за най – малките, съвместно Кметство с. Прибой беше направена екскурзи</w:t>
      </w:r>
      <w:r>
        <w:rPr>
          <w:rFonts w:ascii="Times New Roman" w:hAnsi="Times New Roman" w:cs="Times New Roman"/>
          <w:b/>
          <w:sz w:val="28"/>
          <w:szCs w:val="28"/>
        </w:rPr>
        <w:t>я до Рупите и „Преподобна Стойна“.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3. Проведени беседи и тематични витрини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4. Материали от дейността / снимки и албуми/ - да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5. Летописна книга / дневник на културната дейност/ - читалището разполага с такава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6. Публикации и печатните и електронните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медии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Материалите от участията на самодейните колективи се публикуват на страницата на страницата на читалището, на страницата на Сурвакарската група и в печатните медии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Други форми на читалищна дейност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 Кръжоци / вид и брой на участниците/ -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Клубове / вид и брой на участниците/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Клуб „ Сръчни ръце“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Клуб „ Съхрани българските нрави и обичаи“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3. Езикови курсове / вид и брой на участниците/ -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4. Други курсове / вид и брой на участниците/ -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5. Школи / вид и брой на участниците/ - н</w:t>
      </w:r>
      <w:r>
        <w:rPr>
          <w:rFonts w:ascii="Times New Roman" w:hAnsi="Times New Roman" w:cs="Times New Roman"/>
          <w:b/>
          <w:sz w:val="28"/>
          <w:szCs w:val="28"/>
        </w:rPr>
        <w:t>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6. Музейни колекции / издирване и съхраняване на предмети от бита, оръдия на труда, тъкани, носии, снимков материал, спомени/. 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- Събрани стан, бутелки, хурка, вретена, тъкани исделия, вериги и други.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Партньорства – съвместни дейности с НПО и други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Разработени проекти през 2023г.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 Подготвени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Защитени и реализирани – няма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Участия в обучения през годината за повишаване на квалификацията разширяване на кадровия потенциал</w:t>
      </w:r>
    </w:p>
    <w:p w:rsidR="00121786" w:rsidRDefault="00930080">
      <w:pPr>
        <w:pStyle w:val="Standard"/>
        <w:numPr>
          <w:ilvl w:val="0"/>
          <w:numId w:val="11"/>
        </w:numPr>
      </w:pPr>
      <w:r>
        <w:rPr>
          <w:rFonts w:ascii="Times New Roman" w:hAnsi="Times New Roman" w:cs="Times New Roman"/>
          <w:b/>
          <w:sz w:val="28"/>
          <w:szCs w:val="28"/>
        </w:rPr>
        <w:t>Работна среща на тема “ Национално система, Живи чов</w:t>
      </w:r>
      <w:r>
        <w:rPr>
          <w:rFonts w:ascii="Times New Roman" w:hAnsi="Times New Roman" w:cs="Times New Roman"/>
          <w:b/>
          <w:sz w:val="28"/>
          <w:szCs w:val="28"/>
        </w:rPr>
        <w:t>ешки съкровища“ в село Пещера, организирана от РЕКИЦ Перник</w:t>
      </w:r>
    </w:p>
    <w:p w:rsidR="00121786" w:rsidRDefault="00930080">
      <w:pPr>
        <w:pStyle w:val="Standard"/>
        <w:numPr>
          <w:ilvl w:val="0"/>
          <w:numId w:val="11"/>
        </w:numPr>
      </w:pPr>
      <w:r>
        <w:rPr>
          <w:rFonts w:ascii="Times New Roman" w:hAnsi="Times New Roman" w:cs="Times New Roman"/>
          <w:b/>
          <w:sz w:val="28"/>
          <w:szCs w:val="28"/>
        </w:rPr>
        <w:t>Семинар на тема „Читалищата – възможности и добри практики“ гр. Враца, организиран от РЕКИЦ Перник и РИКИЦ Враца</w:t>
      </w: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Материална база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1. Акт за собственост – няма / читалището се намира в сград</w:t>
      </w:r>
      <w:r>
        <w:rPr>
          <w:rFonts w:ascii="Times New Roman" w:hAnsi="Times New Roman" w:cs="Times New Roman"/>
          <w:b/>
          <w:sz w:val="28"/>
          <w:szCs w:val="28"/>
        </w:rPr>
        <w:t>а общинска собственост/</w:t>
      </w:r>
    </w:p>
    <w:p w:rsidR="00121786" w:rsidRDefault="00930080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2. Разгърната площ в кв. м. за читалищна дейност – 50 кв. м.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Брой на местата в салоните – зала с 30 места.</w:t>
      </w: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12178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121786" w:rsidRDefault="009300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ФИНАНСОВ ОТЧЕТ</w:t>
      </w:r>
    </w:p>
    <w:tbl>
      <w:tblPr>
        <w:tblW w:w="93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651"/>
      </w:tblGrid>
      <w:tr w:rsidR="00121786">
        <w:tblPrEx>
          <w:tblCellMar>
            <w:top w:w="0" w:type="dxa"/>
            <w:bottom w:w="0" w:type="dxa"/>
          </w:tblCellMar>
        </w:tblPrEx>
        <w:trPr>
          <w:trHeight w:val="647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ПРИХОДИ: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Членски внос –81.00лв.</w:t>
            </w: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Културно – просветна дейност – няма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 от:</w:t>
            </w: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Държавен бюджет –</w:t>
            </w: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21 804, 00лв.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Общински бюджет – няма</w:t>
            </w:r>
          </w:p>
          <w:p w:rsidR="00121786" w:rsidRDefault="00121786">
            <w:pPr>
              <w:pStyle w:val="Standard"/>
              <w:spacing w:after="0" w:line="240" w:lineRule="auto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Собствени приходи – няма</w:t>
            </w: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 Наеми от движимо и недвижимо имущество / няма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Дарения – няма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Спонсорство – няма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от спечелени проекти – няма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 приходи –  няма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Остатък на 01.01.2023г. –</w:t>
            </w: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16 980, 28лв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Общо – 38 865, 28лв.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РАЗХОДИ: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Издръжка на читалището: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ФРЗ – 7 246, 80лв.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Осигуровки:</w:t>
            </w:r>
          </w:p>
          <w:p w:rsidR="00121786" w:rsidRDefault="00121786">
            <w:pPr>
              <w:pStyle w:val="Standard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 ДОО – 1 870, 46лв.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 НЗОК – 788, 16лв.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 ДЗПО – 517, 12лв.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 РБ – 730, 85лв.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 Такси ОББ – 534, 00лв.</w:t>
            </w:r>
          </w:p>
          <w:p w:rsidR="00121786" w:rsidRDefault="00121786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дейност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видове:</w:t>
            </w: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Платен интернет – 248.00лв.</w:t>
            </w: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Изплатени командировки – 298,00лв.</w:t>
            </w:r>
          </w:p>
          <w:p w:rsidR="00121786" w:rsidRDefault="00121786">
            <w:pPr>
              <w:pStyle w:val="Standard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Платен транспорт – 1716.00лв.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Закупени носии – 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1 400,00лв.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 – 2 521, 00лв.</w:t>
            </w:r>
          </w:p>
          <w:p w:rsidR="00121786" w:rsidRDefault="001217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Общо : 17 870,39лв.</w:t>
            </w:r>
          </w:p>
          <w:p w:rsidR="00121786" w:rsidRDefault="001217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Остатък на 31.12.2023г. – </w:t>
            </w:r>
          </w:p>
          <w:p w:rsidR="00121786" w:rsidRDefault="00930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20 994, 89лв.</w:t>
            </w:r>
          </w:p>
          <w:p w:rsidR="00121786" w:rsidRDefault="00121786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1786" w:rsidRDefault="00121786">
      <w:pPr>
        <w:pStyle w:val="Standard"/>
        <w:jc w:val="center"/>
        <w:rPr>
          <w:u w:val="single"/>
        </w:rPr>
      </w:pPr>
    </w:p>
    <w:p w:rsidR="00121786" w:rsidRDefault="00121786">
      <w:pPr>
        <w:pStyle w:val="Standard"/>
        <w:jc w:val="center"/>
        <w:rPr>
          <w:u w:val="single"/>
        </w:rPr>
      </w:pPr>
    </w:p>
    <w:p w:rsidR="00121786" w:rsidRDefault="009300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Проверителна комисия:</w:t>
      </w:r>
    </w:p>
    <w:p w:rsidR="00121786" w:rsidRDefault="00930080">
      <w:pPr>
        <w:pStyle w:val="Standard"/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Председател: ………………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Изготвил: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/Цветан Христов/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Читалищен секретар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………………………..                                         Членове: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/Росана Иванова/                                                 1. /Валентина Сергиева/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2. / Мариана Игнатова/</w:t>
      </w:r>
    </w:p>
    <w:p w:rsidR="00121786" w:rsidRDefault="0093008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………………………</w:t>
      </w:r>
    </w:p>
    <w:p w:rsidR="00121786" w:rsidRDefault="00121786">
      <w:pPr>
        <w:pStyle w:val="Standard"/>
        <w:jc w:val="center"/>
      </w:pPr>
    </w:p>
    <w:sectPr w:rsidR="001217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80" w:rsidRDefault="00930080">
      <w:pPr>
        <w:spacing w:after="0" w:line="240" w:lineRule="auto"/>
      </w:pPr>
      <w:r>
        <w:separator/>
      </w:r>
    </w:p>
  </w:endnote>
  <w:endnote w:type="continuationSeparator" w:id="0">
    <w:p w:rsidR="00930080" w:rsidRDefault="009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80" w:rsidRDefault="009300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080" w:rsidRDefault="0093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E36"/>
    <w:multiLevelType w:val="multilevel"/>
    <w:tmpl w:val="E5AEF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0DA064F5"/>
    <w:multiLevelType w:val="multilevel"/>
    <w:tmpl w:val="B8E49B9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2015C69"/>
    <w:multiLevelType w:val="multilevel"/>
    <w:tmpl w:val="E8083FC0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A8756D7"/>
    <w:multiLevelType w:val="multilevel"/>
    <w:tmpl w:val="80A23E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BB47E1"/>
    <w:multiLevelType w:val="multilevel"/>
    <w:tmpl w:val="88CC8C58"/>
    <w:styleLink w:val="WWNum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63A1EBB"/>
    <w:multiLevelType w:val="multilevel"/>
    <w:tmpl w:val="6BA889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97C0EAB"/>
    <w:multiLevelType w:val="multilevel"/>
    <w:tmpl w:val="F0AE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558C34E1"/>
    <w:multiLevelType w:val="multilevel"/>
    <w:tmpl w:val="B128F6D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31F5864"/>
    <w:multiLevelType w:val="multilevel"/>
    <w:tmpl w:val="57D03DF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64AC5CCB"/>
    <w:multiLevelType w:val="multilevel"/>
    <w:tmpl w:val="4ADAEFF2"/>
    <w:lvl w:ilvl="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8596544"/>
    <w:multiLevelType w:val="multilevel"/>
    <w:tmpl w:val="5AD0711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A6F35EE"/>
    <w:multiLevelType w:val="multilevel"/>
    <w:tmpl w:val="6D0CE88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AC232EE"/>
    <w:multiLevelType w:val="multilevel"/>
    <w:tmpl w:val="FED4A2F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1786"/>
    <w:rsid w:val="00121786"/>
    <w:rsid w:val="00473262"/>
    <w:rsid w:val="009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E728-EDD6-4AE2-907E-C887702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bg-BG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2024-03-29T10:22:00Z</dcterms:created>
  <dcterms:modified xsi:type="dcterms:W3CDTF">2024-03-29T10:22:00Z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